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209C4DCB" w:rsidR="00DA600E" w:rsidRPr="00D61AFE" w:rsidRDefault="00DA600E" w:rsidP="00C91658">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w:t>
      </w:r>
      <w:bookmarkStart w:id="0" w:name="_GoBack"/>
      <w:r w:rsidRPr="00D61AFE">
        <w:t>ремонтные работы следующего содержания:</w:t>
      </w:r>
      <w:r w:rsidR="00610FDA">
        <w:t xml:space="preserve"> </w:t>
      </w:r>
      <w:r w:rsidR="00610FDA" w:rsidRPr="00610FDA">
        <w:rPr>
          <w:b/>
        </w:rPr>
        <w:t>«</w:t>
      </w:r>
      <w:r w:rsidR="00C91658" w:rsidRPr="00C91658">
        <w:rPr>
          <w:b/>
        </w:rPr>
        <w:t>Выполнение работ по замене ворот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bookmarkEnd w:id="0"/>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26721CFE" w:rsidR="00DA600E" w:rsidRPr="00994245" w:rsidRDefault="00610FDA" w:rsidP="00610FDA">
      <w:pPr>
        <w:pStyle w:val="a4"/>
      </w:pPr>
      <w:r>
        <w:t>- Дефектн</w:t>
      </w:r>
      <w:r w:rsidR="00C778C4" w:rsidRPr="00C778C4">
        <w:t>ые</w:t>
      </w:r>
      <w:r w:rsidR="00DA600E" w:rsidRPr="00D61AFE">
        <w:t xml:space="preserve"> </w:t>
      </w:r>
      <w:r w:rsidR="00EE0295">
        <w:t>ведомост</w:t>
      </w:r>
      <w:r w:rsidR="00C778C4">
        <w:t>и</w:t>
      </w:r>
      <w:r w:rsidR="00DA600E" w:rsidRPr="00994245">
        <w:t xml:space="preserve"> </w:t>
      </w:r>
      <w:r w:rsidR="00C778C4">
        <w:t>№№ 1П, 2П</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385B68E0"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C778C4">
        <w:t>и</w:t>
      </w:r>
      <w:r w:rsidR="00EE0295">
        <w:t xml:space="preserve"> смет</w:t>
      </w:r>
      <w:r w:rsidR="00610FDA">
        <w:t>ным</w:t>
      </w:r>
      <w:r w:rsidR="00C778C4">
        <w:t>и</w:t>
      </w:r>
      <w:r w:rsidR="00610FDA">
        <w:t xml:space="preserve"> расчет</w:t>
      </w:r>
      <w:r w:rsidR="00C778C4">
        <w:t>а</w:t>
      </w:r>
      <w:r w:rsidR="00A84837">
        <w:t>м</w:t>
      </w:r>
      <w:r w:rsidR="00C778C4">
        <w:t>и</w:t>
      </w:r>
      <w:r w:rsidR="00DA600E" w:rsidRPr="005E1D08">
        <w:t xml:space="preserve"> </w:t>
      </w:r>
      <w:r w:rsidR="00A84837">
        <w:t>№</w:t>
      </w:r>
      <w:r w:rsidR="00C778C4">
        <w:t>№</w:t>
      </w:r>
      <w:r w:rsidR="00A84837">
        <w:t xml:space="preserve"> </w:t>
      </w:r>
      <w:r w:rsidR="00C778C4">
        <w:t>1П, 2П</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779775D1"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C778C4">
        <w:rPr>
          <w:iCs/>
        </w:rPr>
        <w:t>ыми</w:t>
      </w:r>
      <w:r w:rsidR="00E41085">
        <w:rPr>
          <w:iCs/>
        </w:rPr>
        <w:t xml:space="preserve"> </w:t>
      </w:r>
      <w:r w:rsidRPr="005E1D08">
        <w:rPr>
          <w:bCs/>
        </w:rPr>
        <w:t>ведомост</w:t>
      </w:r>
      <w:r w:rsidR="00C778C4">
        <w:rPr>
          <w:bCs/>
        </w:rPr>
        <w:t>ями</w:t>
      </w:r>
      <w:r w:rsidRPr="005E1D08">
        <w:rPr>
          <w:bCs/>
        </w:rPr>
        <w:t xml:space="preserve"> </w:t>
      </w:r>
      <w:r w:rsidR="00A84837">
        <w:t>№</w:t>
      </w:r>
      <w:r w:rsidR="00C778C4">
        <w:t>№</w:t>
      </w:r>
      <w:r w:rsidR="00A84837">
        <w:t xml:space="preserve"> </w:t>
      </w:r>
      <w:r w:rsidR="00C778C4">
        <w:t>1П, 2П</w:t>
      </w:r>
      <w:r w:rsidR="00A84837">
        <w:t>;</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98240A7"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76C91B31"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w:t>
      </w:r>
      <w:r w:rsidR="00A07B28" w:rsidRPr="00A07B28">
        <w:lastRenderedPageBreak/>
        <w:t xml:space="preserve">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lastRenderedPageBreak/>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0CFDB5"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9133DC">
        <w:rPr>
          <w:b/>
        </w:rPr>
        <w:t>.11</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lastRenderedPageBreak/>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w:t>
      </w:r>
      <w:r w:rsidRPr="004824F6">
        <w:lastRenderedPageBreak/>
        <w:t>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lastRenderedPageBreak/>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lastRenderedPageBreak/>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w:t>
      </w:r>
      <w:r w:rsidR="00E41085" w:rsidRPr="00E41085">
        <w:lastRenderedPageBreak/>
        <w:t>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 xml:space="preserve">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w:t>
      </w:r>
      <w:r w:rsidRPr="00E41085">
        <w:lastRenderedPageBreak/>
        <w:t>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w:t>
      </w:r>
      <w:r w:rsidRPr="00400968">
        <w:rPr>
          <w:rFonts w:ascii="Times New Roman" w:hAnsi="Times New Roman" w:cs="Times New Roman"/>
          <w:sz w:val="24"/>
          <w:szCs w:val="24"/>
        </w:rPr>
        <w:lastRenderedPageBreak/>
        <w:t>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lastRenderedPageBreak/>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400968">
        <w:lastRenderedPageBreak/>
        <w:t>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400968">
        <w:lastRenderedPageBreak/>
        <w:t>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lastRenderedPageBreak/>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lastRenderedPageBreak/>
        <w:t>17.15. Приложениями к договору и его неотъемлемой частью являются:</w:t>
      </w:r>
    </w:p>
    <w:p w14:paraId="0C982524" w14:textId="33868B9C"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0D1968">
        <w:rPr>
          <w:bCs/>
        </w:rPr>
        <w:t>ые</w:t>
      </w:r>
      <w:r w:rsidR="00593732" w:rsidRPr="00593732">
        <w:rPr>
          <w:bCs/>
        </w:rPr>
        <w:t xml:space="preserve"> ведомост</w:t>
      </w:r>
      <w:r w:rsidR="000D1968">
        <w:rPr>
          <w:bCs/>
        </w:rPr>
        <w:t>и</w:t>
      </w:r>
      <w:r w:rsidRPr="00593732">
        <w:rPr>
          <w:bCs/>
        </w:rPr>
        <w:t xml:space="preserve"> </w:t>
      </w:r>
      <w:r w:rsidR="00D30F23">
        <w:t>№</w:t>
      </w:r>
      <w:r w:rsidR="000D1968">
        <w:t>№</w:t>
      </w:r>
      <w:r w:rsidR="00D30F23">
        <w:t xml:space="preserve"> </w:t>
      </w:r>
      <w:r w:rsidR="000D1968">
        <w:t>1П, 2П</w:t>
      </w:r>
      <w:r w:rsidR="00083BD1">
        <w:t>;</w:t>
      </w:r>
    </w:p>
    <w:p w14:paraId="43D592D8" w14:textId="6DEC07A8"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w:t>
      </w:r>
      <w:r w:rsidR="000D1968">
        <w:t>№</w:t>
      </w:r>
      <w:r w:rsidR="00C73935">
        <w:t xml:space="preserve"> </w:t>
      </w:r>
      <w:r w:rsidR="000D1968">
        <w:t>1П, 2П</w:t>
      </w:r>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49984380" w:rsidR="00731CC8" w:rsidRDefault="00731CC8">
        <w:pPr>
          <w:pStyle w:val="ab"/>
          <w:jc w:val="right"/>
        </w:pPr>
        <w:r>
          <w:fldChar w:fldCharType="begin"/>
        </w:r>
        <w:r>
          <w:instrText>PAGE   \* MERGEFORMAT</w:instrText>
        </w:r>
        <w:r>
          <w:fldChar w:fldCharType="separate"/>
        </w:r>
        <w:r w:rsidR="00C91658">
          <w:rPr>
            <w:noProof/>
          </w:rPr>
          <w:t>7</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968"/>
    <w:rsid w:val="000D1E4C"/>
    <w:rsid w:val="000D2BDB"/>
    <w:rsid w:val="000E0C6C"/>
    <w:rsid w:val="000E0F3D"/>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37DFA"/>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45FE"/>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5C82"/>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4FFC"/>
    <w:rsid w:val="00C61562"/>
    <w:rsid w:val="00C61BBF"/>
    <w:rsid w:val="00C73935"/>
    <w:rsid w:val="00C778C4"/>
    <w:rsid w:val="00C819FF"/>
    <w:rsid w:val="00C841BF"/>
    <w:rsid w:val="00C84CEA"/>
    <w:rsid w:val="00C8646E"/>
    <w:rsid w:val="00C91658"/>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C173BA1-0F1F-4BB9-95ED-0ED9804F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16</Pages>
  <Words>6894</Words>
  <Characters>49276</Characters>
  <Application>Microsoft Office Word</Application>
  <DocSecurity>0</DocSecurity>
  <Lines>410</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72</cp:revision>
  <cp:lastPrinted>2011-10-14T07:34:00Z</cp:lastPrinted>
  <dcterms:created xsi:type="dcterms:W3CDTF">2020-05-18T06:01:00Z</dcterms:created>
  <dcterms:modified xsi:type="dcterms:W3CDTF">2021-09-03T01:55:00Z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