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A7AEC" w:rsidTr="00BA7AEC">
        <w:trPr>
          <w:jc w:val="center"/>
        </w:trPr>
        <w:tc>
          <w:tcPr>
            <w:tcW w:w="4535" w:type="dxa"/>
            <w:gridSpan w:val="9"/>
            <w:vAlign w:val="center"/>
            <w:hideMark/>
          </w:tcPr>
          <w:p w:rsidR="00BA7AEC" w:rsidRDefault="00BA7AEC">
            <w:pPr>
              <w:spacing w:line="256" w:lineRule="auto"/>
              <w:ind w:firstLine="0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СОГЛАСОВАНО</w:t>
            </w:r>
          </w:p>
        </w:tc>
        <w:tc>
          <w:tcPr>
            <w:tcW w:w="340" w:type="dxa"/>
            <w:vAlign w:val="center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BA7AEC" w:rsidRDefault="00BA7AEC">
            <w:pPr>
              <w:spacing w:line="256" w:lineRule="auto"/>
              <w:ind w:firstLine="0"/>
              <w:jc w:val="left"/>
            </w:pPr>
            <w:r>
              <w:t>УТВЕРЖДАЮ</w:t>
            </w:r>
          </w:p>
        </w:tc>
      </w:tr>
      <w:tr w:rsidR="00BA7AEC" w:rsidTr="00BA7AEC">
        <w:trPr>
          <w:jc w:val="center"/>
        </w:trPr>
        <w:tc>
          <w:tcPr>
            <w:tcW w:w="4535" w:type="dxa"/>
            <w:gridSpan w:val="9"/>
            <w:vAlign w:val="center"/>
            <w:hideMark/>
          </w:tcPr>
          <w:p w:rsidR="00BA7AEC" w:rsidRDefault="00BA7AEC">
            <w:pPr>
              <w:spacing w:line="256" w:lineRule="auto"/>
              <w:ind w:firstLine="0"/>
              <w:jc w:val="lef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Очень длинная должность того кто согласовал</w:t>
            </w:r>
          </w:p>
        </w:tc>
        <w:tc>
          <w:tcPr>
            <w:tcW w:w="340" w:type="dxa"/>
            <w:vAlign w:val="center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BA7AEC" w:rsidRDefault="00BA7AEC">
            <w:pPr>
              <w:spacing w:line="256" w:lineRule="auto"/>
              <w:ind w:firstLine="0"/>
              <w:jc w:val="left"/>
            </w:pPr>
            <w:r>
              <w:t>Главный инженер</w:t>
            </w:r>
          </w:p>
          <w:p w:rsidR="00BA7AEC" w:rsidRDefault="00BA7AEC">
            <w:pPr>
              <w:spacing w:line="256" w:lineRule="auto"/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BA7AEC" w:rsidTr="00BA7AEC">
        <w:trPr>
          <w:trHeight w:val="454"/>
          <w:jc w:val="center"/>
        </w:trPr>
        <w:tc>
          <w:tcPr>
            <w:tcW w:w="2203" w:type="dxa"/>
            <w:gridSpan w:val="5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25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2207" w:type="dxa"/>
            <w:gridSpan w:val="3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340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125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</w:pPr>
            <w:r>
              <w:t>Тельбухов А.О.</w:t>
            </w:r>
          </w:p>
        </w:tc>
      </w:tr>
      <w:tr w:rsidR="00BA7AEC" w:rsidTr="00BA7AEC">
        <w:trPr>
          <w:jc w:val="center"/>
        </w:trPr>
        <w:tc>
          <w:tcPr>
            <w:tcW w:w="2203" w:type="dxa"/>
            <w:gridSpan w:val="5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подпись</w:t>
            </w:r>
          </w:p>
        </w:tc>
        <w:tc>
          <w:tcPr>
            <w:tcW w:w="125" w:type="dxa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</w:t>
            </w:r>
          </w:p>
        </w:tc>
      </w:tr>
      <w:tr w:rsidR="00BA7AEC" w:rsidTr="00BA7AEC">
        <w:trPr>
          <w:trHeight w:val="417"/>
          <w:jc w:val="center"/>
        </w:trPr>
        <w:tc>
          <w:tcPr>
            <w:tcW w:w="176" w:type="dxa"/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  <w:szCs w:val="24"/>
              </w:rPr>
            </w:pPr>
            <w:r>
              <w:rPr>
                <w:color w:val="FFFFFF" w:themeColor="background1"/>
              </w:rPr>
              <w:t>«</w:t>
            </w:r>
          </w:p>
        </w:tc>
        <w:tc>
          <w:tcPr>
            <w:tcW w:w="677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76" w:type="dxa"/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»</w:t>
            </w:r>
          </w:p>
        </w:tc>
        <w:tc>
          <w:tcPr>
            <w:tcW w:w="169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2317" w:type="dxa"/>
            <w:gridSpan w:val="3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170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</w:p>
        </w:tc>
        <w:tc>
          <w:tcPr>
            <w:tcW w:w="851" w:type="dxa"/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2022 г.</w:t>
            </w:r>
          </w:p>
        </w:tc>
        <w:tc>
          <w:tcPr>
            <w:tcW w:w="339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176" w:type="dxa"/>
            <w:vAlign w:val="bottom"/>
            <w:hideMark/>
          </w:tcPr>
          <w:p w:rsidR="00BA7AEC" w:rsidRDefault="00BA7AEC">
            <w:pPr>
              <w:spacing w:line="256" w:lineRule="auto"/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170" w:type="dxa"/>
            <w:vAlign w:val="bottom"/>
          </w:tcPr>
          <w:p w:rsidR="00BA7AEC" w:rsidRDefault="00BA7AEC">
            <w:pPr>
              <w:spacing w:line="256" w:lineRule="auto"/>
              <w:ind w:firstLine="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7AEC" w:rsidRDefault="00BA7AEC" w:rsidP="006F4EAF">
            <w:pPr>
              <w:spacing w:line="256" w:lineRule="auto"/>
              <w:ind w:firstLine="0"/>
              <w:jc w:val="center"/>
            </w:pPr>
            <w:r>
              <w:t>202</w:t>
            </w:r>
            <w:r w:rsidR="006F4EAF">
              <w:t>3</w:t>
            </w:r>
            <w:r>
              <w:t xml:space="preserve"> г.</w:t>
            </w:r>
          </w:p>
        </w:tc>
      </w:tr>
    </w:tbl>
    <w:p w:rsidR="00DF5D04" w:rsidRDefault="00DF5D04"/>
    <w:p w:rsidR="00BA7AEC" w:rsidRDefault="00BA7AEC"/>
    <w:p w:rsidR="00BA7AEC" w:rsidRDefault="00BA7AEC"/>
    <w:p w:rsidR="00BA7AEC" w:rsidRDefault="00BA7AEC" w:rsidP="00BA7AEC">
      <w:pPr>
        <w:jc w:val="center"/>
      </w:pPr>
      <w:r>
        <w:t>ТЕХНИЧЕСКОЕ ЗАДАНИЕ</w:t>
      </w:r>
    </w:p>
    <w:p w:rsidR="00BA7AEC" w:rsidRDefault="00BA7AEC" w:rsidP="00BA7AEC">
      <w:pPr>
        <w:jc w:val="center"/>
      </w:pPr>
      <w:r>
        <w:t>«Ремонт штукатурного слоя лестниц правого и левого берегов, а также защитного слоя бетона на шандорной площадке»</w:t>
      </w:r>
    </w:p>
    <w:p w:rsidR="00BA7AEC" w:rsidRDefault="00BA7AEC"/>
    <w:p w:rsidR="00D67346" w:rsidRDefault="00D67346" w:rsidP="00D67346">
      <w:pPr>
        <w:rPr>
          <w:b/>
        </w:rPr>
      </w:pPr>
      <w:r>
        <w:rPr>
          <w:b/>
        </w:rPr>
        <w:t>Место оказания услуг:</w:t>
      </w:r>
    </w:p>
    <w:p w:rsidR="00D67346" w:rsidRDefault="00D67346" w:rsidP="00D67346">
      <w:r>
        <w:t>Республика Карелия, Сегежский р-н, д. Каменный Бор, ул. Набережная, д.1В (Ондская ГЭС)</w:t>
      </w:r>
    </w:p>
    <w:p w:rsidR="00D67346" w:rsidRDefault="00D67346" w:rsidP="00D67346"/>
    <w:p w:rsidR="00D67346" w:rsidRDefault="00D67346" w:rsidP="00D67346">
      <w:pPr>
        <w:rPr>
          <w:b/>
        </w:rPr>
      </w:pPr>
      <w:r>
        <w:rPr>
          <w:b/>
        </w:rPr>
        <w:t>Сроки оказания услуг:</w:t>
      </w:r>
    </w:p>
    <w:p w:rsidR="00D67346" w:rsidRDefault="00D67346" w:rsidP="00D67346">
      <w:r>
        <w:t>Начало: с даты подписания договора</w:t>
      </w:r>
    </w:p>
    <w:p w:rsidR="00D67346" w:rsidRDefault="00D67346" w:rsidP="00D67346">
      <w:r>
        <w:t>Окончание: не позднее 3</w:t>
      </w:r>
      <w:r w:rsidR="00D57FE4">
        <w:t>0</w:t>
      </w:r>
      <w:r>
        <w:t>.</w:t>
      </w:r>
      <w:r w:rsidR="00D57FE4">
        <w:t>09</w:t>
      </w:r>
      <w:r>
        <w:t>.2023 г.</w:t>
      </w:r>
    </w:p>
    <w:p w:rsidR="00BA7AEC" w:rsidRDefault="00BA7AEC"/>
    <w:p w:rsidR="00090D69" w:rsidRPr="00090D69" w:rsidRDefault="00090D69" w:rsidP="00090D69">
      <w:pPr>
        <w:rPr>
          <w:b/>
        </w:rPr>
      </w:pPr>
      <w:r w:rsidRPr="00090D69">
        <w:rPr>
          <w:b/>
        </w:rPr>
        <w:t>Подготовительные работы</w:t>
      </w:r>
    </w:p>
    <w:p w:rsidR="00090D69" w:rsidRDefault="00090D69" w:rsidP="00090D69">
      <w:r>
        <w:t xml:space="preserve">Перед началом работ по ремонту штукатурного слоя подпорных стенок отводящего канала Подрядчик самостоятельно и за свой счет проводит работы </w:t>
      </w:r>
      <w:r w:rsidRPr="00090D69">
        <w:t xml:space="preserve">возводит все необходимые временные конструкции для доступа своих сотрудников к </w:t>
      </w:r>
      <w:r>
        <w:t>месту</w:t>
      </w:r>
      <w:r w:rsidR="00E35EA6">
        <w:t xml:space="preserve"> </w:t>
      </w:r>
      <w:r>
        <w:t>проведения работ</w:t>
      </w:r>
      <w:r w:rsidRPr="00090D69">
        <w:t xml:space="preserve"> (</w:t>
      </w:r>
      <w:r>
        <w:t>леса/</w:t>
      </w:r>
      <w:r w:rsidRPr="00090D69">
        <w:t>подмостки/сходы и т.п. конструкции), а по окончании работ проводит мероприятия по их демонтажу</w:t>
      </w:r>
      <w:r>
        <w:t>.</w:t>
      </w:r>
    </w:p>
    <w:p w:rsidR="00090D69" w:rsidRDefault="00090D69" w:rsidP="00090D69"/>
    <w:p w:rsidR="00090D69" w:rsidRPr="00090D69" w:rsidRDefault="00090D69" w:rsidP="00090D69">
      <w:pPr>
        <w:rPr>
          <w:b/>
        </w:rPr>
      </w:pPr>
      <w:r w:rsidRPr="00090D69">
        <w:rPr>
          <w:b/>
        </w:rPr>
        <w:t>Ремонт штукатурного слоя</w:t>
      </w:r>
    </w:p>
    <w:p w:rsidR="00090D69" w:rsidRPr="00BF6999" w:rsidRDefault="00090D69" w:rsidP="00090D69">
      <w:r>
        <w:t>Перед началом работ все поверхности очищаются от старого штукатурного слоя</w:t>
      </w:r>
      <w:r w:rsidR="00801853">
        <w:t xml:space="preserve"> (толщиной </w:t>
      </w:r>
      <w:r w:rsidR="00CE3923">
        <w:t xml:space="preserve">до </w:t>
      </w:r>
      <w:r w:rsidR="00801853">
        <w:t>3 см)</w:t>
      </w:r>
      <w:r>
        <w:t xml:space="preserve">. Весь образовавшийся строительный мусор </w:t>
      </w:r>
      <w:r w:rsidR="00E35EA6">
        <w:t xml:space="preserve">транспортируется к местам накопления и </w:t>
      </w:r>
      <w:r>
        <w:t>складируется в местах, заранее оговоренных с Заказчиком</w:t>
      </w:r>
      <w:r w:rsidR="00E35EA6">
        <w:t>.</w:t>
      </w:r>
      <w:r w:rsidR="00CE3923">
        <w:t xml:space="preserve"> Отбивка штукатурного слоя проводится по всей поверхности стен левого и правого берегов на участке площад</w:t>
      </w:r>
      <w:r w:rsidR="00BF6999">
        <w:t>ь</w:t>
      </w:r>
      <w:r w:rsidR="00CE3923">
        <w:t>ю 158,51 м</w:t>
      </w:r>
      <w:r w:rsidR="00CE3923" w:rsidRPr="00BF6999">
        <w:rPr>
          <w:vertAlign w:val="superscript"/>
        </w:rPr>
        <w:t>2</w:t>
      </w:r>
      <w:r w:rsidR="00BF6999">
        <w:t>.</w:t>
      </w:r>
    </w:p>
    <w:p w:rsidR="00090D69" w:rsidRDefault="00E35EA6" w:rsidP="00090D69">
      <w:r>
        <w:t>По окончании работ по демонтажу старого штукатурного слоя Подрядчик проводит работы по очистке поверхности стен гидроструйными аппаратами высокого давления. Подготовленная поверхность должна быть очищена от пыли, грязи и биологических загрязнений (мох и др. растительность).</w:t>
      </w:r>
    </w:p>
    <w:p w:rsidR="0046730A" w:rsidRPr="00CE0ED0" w:rsidRDefault="0046730A" w:rsidP="00090D69">
      <w:r>
        <w:t xml:space="preserve">На левобережной </w:t>
      </w:r>
      <w:r w:rsidRPr="00CE0ED0">
        <w:t xml:space="preserve">подпорной стенке необходимо выполнить расшивку ранее заштукатуренного </w:t>
      </w:r>
      <w:r w:rsidR="006762E6" w:rsidRPr="00CE0ED0">
        <w:t>температурного шва (длина 4,85 м)</w:t>
      </w:r>
      <w:r w:rsidRPr="00CE0ED0">
        <w:t xml:space="preserve">, </w:t>
      </w:r>
      <w:r w:rsidR="00B23BF4" w:rsidRPr="00CE0ED0">
        <w:t>с сохранением расположения ранее установленного пространственного щелемера.</w:t>
      </w:r>
      <w:r w:rsidR="006762E6" w:rsidRPr="00CE0ED0">
        <w:t xml:space="preserve"> Гладким и глянцевым поверхностям стен необходимо придать шероховатость созданием насечек на поверхности или нанесения на нее специального структурообразующего грунта. По окончании работ по оштукатуриванию участка расположения температурного шва, шов подлежит герметизации битумно-полимерным герметиком на глубину не менее 5 см.</w:t>
      </w:r>
    </w:p>
    <w:p w:rsidR="00513563" w:rsidRDefault="00513563">
      <w:r w:rsidRPr="00CE0ED0">
        <w:t xml:space="preserve">Нанесение штукатурного слоя </w:t>
      </w:r>
      <w:r w:rsidR="006762E6" w:rsidRPr="00CE0ED0">
        <w:t>на подготовленные поверхности</w:t>
      </w:r>
      <w:r w:rsidR="006762E6">
        <w:t xml:space="preserve"> стен </w:t>
      </w:r>
      <w:r>
        <w:t>выполняется по установленным маякам, слоем не менее 2 см., с сохранением существующего уклона стен</w:t>
      </w:r>
      <w:r w:rsidR="00124F42">
        <w:t>, с последующим удалением маяков и заделкой мест их установки.</w:t>
      </w:r>
      <w:r w:rsidR="00AA28BA">
        <w:t xml:space="preserve"> </w:t>
      </w:r>
    </w:p>
    <w:p w:rsidR="00513563" w:rsidRDefault="00513563"/>
    <w:p w:rsidR="00BA7AEC" w:rsidRDefault="00801853">
      <w:r w:rsidRPr="00801853">
        <w:lastRenderedPageBreak/>
        <w:t xml:space="preserve">При выполнении работ с материалами </w:t>
      </w:r>
      <w:r>
        <w:t xml:space="preserve">необходимо </w:t>
      </w:r>
      <w:r w:rsidRPr="00801853">
        <w:t>следовать инструкциям и рекомендациям производителя, соблюдать технику безопасного использования и меры предосторожности.</w:t>
      </w:r>
    </w:p>
    <w:p w:rsidR="005910F9" w:rsidRDefault="005910F9"/>
    <w:p w:rsidR="002B7139" w:rsidRPr="00090D69" w:rsidRDefault="002B7139" w:rsidP="002B7139">
      <w:pPr>
        <w:rPr>
          <w:b/>
        </w:rPr>
      </w:pPr>
      <w:r w:rsidRPr="00090D69">
        <w:rPr>
          <w:b/>
        </w:rPr>
        <w:t xml:space="preserve">Ремонт </w:t>
      </w:r>
      <w:r>
        <w:rPr>
          <w:b/>
        </w:rPr>
        <w:t>бетона напольного покрытия шандорной площадки</w:t>
      </w:r>
    </w:p>
    <w:p w:rsidR="006762E6" w:rsidRPr="008941BE" w:rsidRDefault="006762E6">
      <w:r>
        <w:t xml:space="preserve">Перед началом работ с поверхности шандарной площадки необходимо механическим способом </w:t>
      </w:r>
      <w:r w:rsidR="008941BE">
        <w:t>зачистить</w:t>
      </w:r>
      <w:r>
        <w:t xml:space="preserve"> слой бетона</w:t>
      </w:r>
      <w:r w:rsidR="008941BE">
        <w:t>, имеющий следы разрушения или потери сцепления с основанием (объем до 1 м</w:t>
      </w:r>
      <w:r w:rsidR="008941BE" w:rsidRPr="008941BE">
        <w:rPr>
          <w:vertAlign w:val="superscript"/>
        </w:rPr>
        <w:t>3</w:t>
      </w:r>
      <w:r w:rsidR="008941BE">
        <w:t>), а по окончании провести гидроструйную очистку поверхности шандорной площадки (длина 55,85 м., ширина 4,40 м.). При работах не допускается попадание строительного мусора в пазы ремонтных затворов и в нижний бьеф ГЭС.</w:t>
      </w:r>
    </w:p>
    <w:p w:rsidR="001A5030" w:rsidRDefault="008941BE" w:rsidP="001A5030">
      <w:r>
        <w:t xml:space="preserve">Ремонт покрытия шандорной площадки проводится путем подливки бетона на разрушенные участки </w:t>
      </w:r>
      <w:r w:rsidR="001A5030" w:rsidRPr="001A5030">
        <w:t xml:space="preserve">в пределах участков ограниченных целым (неповрежденным) бетоном. По окончании времени первичного схватывания ремонтного раствора, необходимо выполнить подрезку отремонтированного участка, с целью удаления наплывов и бугров. </w:t>
      </w:r>
      <w:r>
        <w:t>(марка бетона М300). Для предотвращения вытекания бетона с ремонтируемого участка Подрядчик выполняет установку</w:t>
      </w:r>
      <w:r w:rsidR="001A5030">
        <w:t xml:space="preserve"> съемной крупнощитовой</w:t>
      </w:r>
      <w:r>
        <w:t xml:space="preserve"> опалубки по краю шандорной площадки со стороны нижнего бьефа (длина </w:t>
      </w:r>
      <w:r w:rsidR="001A5030">
        <w:t xml:space="preserve">47,3 м). Опалубка не должна выступать за горизонтальную плоскость площадки, т.е. не образовывать ступеней. </w:t>
      </w:r>
      <w:r w:rsidR="001A5030" w:rsidRPr="00312D57">
        <w:t xml:space="preserve">Заливка </w:t>
      </w:r>
      <w:r w:rsidR="001A5030">
        <w:t xml:space="preserve">ремонтной смеси </w:t>
      </w:r>
      <w:r w:rsidR="001A5030" w:rsidRPr="00312D57">
        <w:t xml:space="preserve">в опалубку </w:t>
      </w:r>
      <w:r w:rsidR="001A5030">
        <w:t xml:space="preserve">должна осуществляться </w:t>
      </w:r>
      <w:r w:rsidR="001A5030" w:rsidRPr="00312D57">
        <w:t>с соблюдением технологий по затворению раствора и с учетом времени пластичности раствора.</w:t>
      </w:r>
      <w:r w:rsidR="001A5030">
        <w:t xml:space="preserve"> По окончании работ вся опалубка подлежит демонтажу. </w:t>
      </w:r>
      <w:r w:rsidR="001A5030" w:rsidRPr="00312D57">
        <w:t>После демонтажа опалубки произвести подмазку внешних каверн и зашлифовку стыков отдельных участков</w:t>
      </w:r>
      <w:r w:rsidR="001A5030">
        <w:t>.</w:t>
      </w:r>
    </w:p>
    <w:p w:rsidR="006762E6" w:rsidRDefault="001A5030">
      <w:r>
        <w:t xml:space="preserve">Ремонт края шандорной площадки выполняется с подвесных лесов, установленных по всей длине и охватывающих весь участок, подлежащий ремонту (длина 47,3 м, высота 1,0 м.). Ремонт осуществляется путем нанесения безусадочных тиксотропных смесей </w:t>
      </w:r>
      <w:r w:rsidR="0011155E">
        <w:t xml:space="preserve">(например: </w:t>
      </w:r>
      <w:r w:rsidR="0011155E" w:rsidRPr="0011155E">
        <w:t>БИРСС РСМ-400-2М</w:t>
      </w:r>
      <w:r w:rsidR="0011155E">
        <w:t xml:space="preserve"> или аналог) </w:t>
      </w:r>
      <w:r>
        <w:t>толщиной слоя не менее 20 мм (площадь поверхности – 37,84 м</w:t>
      </w:r>
      <w:r w:rsidRPr="001A5030">
        <w:rPr>
          <w:vertAlign w:val="superscript"/>
        </w:rPr>
        <w:t>2</w:t>
      </w:r>
      <w:r>
        <w:t>.</w:t>
      </w:r>
    </w:p>
    <w:p w:rsidR="00BA7AEC" w:rsidRDefault="005910F9" w:rsidP="005910F9">
      <w:r>
        <w:t>При выполнении работ с материалами следовать инструкциям и рекомендациям производителя, соблюдать технику безопасного использования и меры предосторожности.</w:t>
      </w:r>
    </w:p>
    <w:p w:rsidR="003553A8" w:rsidRDefault="003553A8" w:rsidP="003553A8"/>
    <w:p w:rsidR="00CE0ED0" w:rsidRDefault="00CE0ED0" w:rsidP="003553A8">
      <w:r w:rsidRPr="00CE0ED0">
        <w:t xml:space="preserve">По окончании ремонтных работ </w:t>
      </w:r>
      <w:r>
        <w:t>участок проведения работ должен</w:t>
      </w:r>
      <w:r w:rsidRPr="00CE0ED0">
        <w:t xml:space="preserve"> быть приведен в первоначальное состояние, в соответствии с назначением.</w:t>
      </w:r>
      <w:r>
        <w:t xml:space="preserve"> Вывоз </w:t>
      </w:r>
      <w:r>
        <w:t>с территории Заказчика</w:t>
      </w:r>
      <w:r>
        <w:t xml:space="preserve"> строительного мусора, образовавшегося в результате выполнения работ, является обязанностью Подрядчика</w:t>
      </w:r>
      <w:bookmarkStart w:id="0" w:name="_GoBack"/>
      <w:bookmarkEnd w:id="0"/>
    </w:p>
    <w:p w:rsidR="00C7710C" w:rsidRDefault="00C7710C"/>
    <w:p w:rsidR="00C7710C" w:rsidRPr="00405077" w:rsidRDefault="00124F42">
      <w:pPr>
        <w:rPr>
          <w:b/>
        </w:rPr>
      </w:pPr>
      <w:r w:rsidRPr="00405077">
        <w:rPr>
          <w:b/>
        </w:rPr>
        <w:t>Требования к оказанию услуг</w:t>
      </w:r>
    </w:p>
    <w:p w:rsidR="00124F42" w:rsidRDefault="00124F42" w:rsidP="00124F42">
      <w:r>
        <w:t>Оказание услуг должно производиться в соответствии с действующим законодательства, в том числе, но не ограничиваясь:</w:t>
      </w:r>
    </w:p>
    <w:p w:rsidR="00124F42" w:rsidRPr="00124F42" w:rsidRDefault="00124F42" w:rsidP="00124F42">
      <w:pPr>
        <w:pStyle w:val="a5"/>
        <w:numPr>
          <w:ilvl w:val="0"/>
          <w:numId w:val="4"/>
        </w:numPr>
        <w:tabs>
          <w:tab w:val="left" w:pos="1418"/>
        </w:tabs>
        <w:ind w:left="0" w:firstLine="709"/>
      </w:pPr>
      <w:r w:rsidRPr="00124F42">
        <w:t>Федеральный закон от 21.10.1997 г. №117-ФЗ «О безопасности гидротехнических сооружений»;</w:t>
      </w:r>
    </w:p>
    <w:p w:rsidR="00C7710C" w:rsidRPr="00124F42" w:rsidRDefault="00124F42" w:rsidP="00124F42">
      <w:pPr>
        <w:pStyle w:val="a5"/>
        <w:numPr>
          <w:ilvl w:val="0"/>
          <w:numId w:val="4"/>
        </w:numPr>
        <w:tabs>
          <w:tab w:val="left" w:pos="1418"/>
        </w:tabs>
        <w:ind w:left="0" w:firstLine="709"/>
      </w:pPr>
      <w:r w:rsidRPr="00124F42">
        <w:t>ГОСТ Р 55260.1.9-2013 Гидроэлектростанции. Часть 1-9. Сооружения ГЭС гидротехнические. Требования безопасности при эксплуатации;</w:t>
      </w:r>
    </w:p>
    <w:p w:rsidR="00C7710C" w:rsidRPr="00124F42" w:rsidRDefault="00C7710C" w:rsidP="00124F42">
      <w:pPr>
        <w:pStyle w:val="a5"/>
        <w:numPr>
          <w:ilvl w:val="0"/>
          <w:numId w:val="4"/>
        </w:numPr>
        <w:tabs>
          <w:tab w:val="left" w:pos="1418"/>
        </w:tabs>
        <w:ind w:left="0" w:firstLine="709"/>
      </w:pPr>
      <w:r w:rsidRPr="00124F42">
        <w:t>СП 71.13330.2017 «Изоляционные и отделочные покрытия»</w:t>
      </w:r>
      <w:r w:rsidR="006D40C2" w:rsidRPr="00124F42">
        <w:t>;</w:t>
      </w:r>
    </w:p>
    <w:p w:rsidR="006D40C2" w:rsidRPr="00124F42" w:rsidRDefault="006D40C2" w:rsidP="00124F42">
      <w:pPr>
        <w:pStyle w:val="a5"/>
        <w:numPr>
          <w:ilvl w:val="0"/>
          <w:numId w:val="4"/>
        </w:numPr>
        <w:tabs>
          <w:tab w:val="left" w:pos="1418"/>
        </w:tabs>
        <w:ind w:left="0" w:firstLine="709"/>
      </w:pPr>
      <w:r w:rsidRPr="00124F42">
        <w:t>СП 41.13330.2012 «Бетонные и железобетонные конструкции гидротехнических сооружений»;</w:t>
      </w:r>
    </w:p>
    <w:p w:rsidR="00124F42" w:rsidRDefault="00124F42" w:rsidP="00124F42">
      <w:pPr>
        <w:pStyle w:val="a5"/>
        <w:numPr>
          <w:ilvl w:val="0"/>
          <w:numId w:val="4"/>
        </w:numPr>
        <w:tabs>
          <w:tab w:val="left" w:pos="1418"/>
        </w:tabs>
        <w:ind w:left="0" w:firstLine="709"/>
      </w:pPr>
      <w:r w:rsidRPr="00124F42">
        <w:t>а также действующими регламентами ООО «ЕвроСибЭнерго – тепловая энергия».</w:t>
      </w:r>
    </w:p>
    <w:p w:rsidR="00533AF0" w:rsidRDefault="00533AF0" w:rsidP="00533AF0">
      <w:pPr>
        <w:pStyle w:val="a5"/>
        <w:ind w:left="0"/>
      </w:pPr>
    </w:p>
    <w:p w:rsidR="00533AF0" w:rsidRDefault="00533AF0" w:rsidP="00533AF0">
      <w:pPr>
        <w:pStyle w:val="a5"/>
        <w:ind w:left="0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533AF0" w:rsidTr="00CD266B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33AF0" w:rsidRDefault="00533AF0" w:rsidP="00CD266B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33AF0" w:rsidRDefault="00533AF0" w:rsidP="00CD266B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33AF0" w:rsidRDefault="00533AF0" w:rsidP="00CD266B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533AF0" w:rsidRDefault="00533AF0" w:rsidP="00CD266B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33AF0" w:rsidRDefault="00533AF0" w:rsidP="00CD266B">
            <w:pPr>
              <w:ind w:firstLine="0"/>
              <w:jc w:val="center"/>
            </w:pPr>
            <w:r>
              <w:t>Тихонов А.С.</w:t>
            </w:r>
          </w:p>
        </w:tc>
      </w:tr>
      <w:tr w:rsidR="00533AF0" w:rsidTr="00CD266B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533AF0" w:rsidRPr="001A79C6" w:rsidRDefault="00533AF0" w:rsidP="00CD266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533AF0" w:rsidRPr="001A79C6" w:rsidRDefault="00533AF0" w:rsidP="00CD266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533AF0" w:rsidRPr="001A79C6" w:rsidRDefault="00533AF0" w:rsidP="00CD266B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533AF0" w:rsidRPr="001A79C6" w:rsidRDefault="00533AF0" w:rsidP="00CD266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533AF0" w:rsidRPr="001A79C6" w:rsidRDefault="00533AF0" w:rsidP="00CD266B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533AF0" w:rsidRPr="00124F42" w:rsidRDefault="00533AF0" w:rsidP="00533AF0">
      <w:pPr>
        <w:pStyle w:val="a5"/>
        <w:ind w:left="0"/>
      </w:pPr>
    </w:p>
    <w:sectPr w:rsidR="00533AF0" w:rsidRPr="0012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5041F"/>
    <w:multiLevelType w:val="hybridMultilevel"/>
    <w:tmpl w:val="86AE2536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293105A"/>
    <w:multiLevelType w:val="hybridMultilevel"/>
    <w:tmpl w:val="F4A8842A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4F2D02"/>
    <w:multiLevelType w:val="hybridMultilevel"/>
    <w:tmpl w:val="A0D47292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A6A5DF0"/>
    <w:multiLevelType w:val="hybridMultilevel"/>
    <w:tmpl w:val="F5E0540A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E8"/>
    <w:rsid w:val="00090D69"/>
    <w:rsid w:val="000B3090"/>
    <w:rsid w:val="0011155E"/>
    <w:rsid w:val="00124F41"/>
    <w:rsid w:val="00124F42"/>
    <w:rsid w:val="001A5030"/>
    <w:rsid w:val="001B6FAA"/>
    <w:rsid w:val="00205565"/>
    <w:rsid w:val="00215D8F"/>
    <w:rsid w:val="0026284C"/>
    <w:rsid w:val="002B7139"/>
    <w:rsid w:val="00312D57"/>
    <w:rsid w:val="003553A8"/>
    <w:rsid w:val="00405077"/>
    <w:rsid w:val="004528E8"/>
    <w:rsid w:val="0046730A"/>
    <w:rsid w:val="00513563"/>
    <w:rsid w:val="00533AF0"/>
    <w:rsid w:val="00587EAF"/>
    <w:rsid w:val="005910F9"/>
    <w:rsid w:val="00620FDE"/>
    <w:rsid w:val="006762E6"/>
    <w:rsid w:val="006907B3"/>
    <w:rsid w:val="006944C3"/>
    <w:rsid w:val="006B5FB9"/>
    <w:rsid w:val="006D40C2"/>
    <w:rsid w:val="006F4EAF"/>
    <w:rsid w:val="007626A6"/>
    <w:rsid w:val="0077587A"/>
    <w:rsid w:val="007C0B8A"/>
    <w:rsid w:val="00801853"/>
    <w:rsid w:val="00823860"/>
    <w:rsid w:val="00836940"/>
    <w:rsid w:val="008525C5"/>
    <w:rsid w:val="008941BE"/>
    <w:rsid w:val="00946A02"/>
    <w:rsid w:val="00995F69"/>
    <w:rsid w:val="009D2BF4"/>
    <w:rsid w:val="00AA28BA"/>
    <w:rsid w:val="00AC2214"/>
    <w:rsid w:val="00B23BF4"/>
    <w:rsid w:val="00BA7AEC"/>
    <w:rsid w:val="00BF089C"/>
    <w:rsid w:val="00BF6999"/>
    <w:rsid w:val="00C7710C"/>
    <w:rsid w:val="00C9380C"/>
    <w:rsid w:val="00CC2D0D"/>
    <w:rsid w:val="00CE0ED0"/>
    <w:rsid w:val="00CE3923"/>
    <w:rsid w:val="00D24AA2"/>
    <w:rsid w:val="00D52872"/>
    <w:rsid w:val="00D57FE4"/>
    <w:rsid w:val="00D67346"/>
    <w:rsid w:val="00D7374B"/>
    <w:rsid w:val="00DE219D"/>
    <w:rsid w:val="00DF5D04"/>
    <w:rsid w:val="00E35EA6"/>
    <w:rsid w:val="00F8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D242"/>
  <w15:chartTrackingRefBased/>
  <w15:docId w15:val="{B0E6FCF4-F4F2-4E5C-8C8D-21A6024B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25C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52872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5910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4E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4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38</cp:revision>
  <cp:lastPrinted>2023-06-06T06:08:00Z</cp:lastPrinted>
  <dcterms:created xsi:type="dcterms:W3CDTF">2022-11-28T13:02:00Z</dcterms:created>
  <dcterms:modified xsi:type="dcterms:W3CDTF">2023-07-14T11:52:00Z</dcterms:modified>
</cp:coreProperties>
</file>