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775B6829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660B54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6FDE531F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660B54">
        <w:rPr>
          <w:rFonts w:ascii="Times New Roman" w:hAnsi="Times New Roman" w:cs="Times New Roman"/>
          <w:b w:val="0"/>
          <w:i w:val="0"/>
          <w:sz w:val="20"/>
          <w:szCs w:val="20"/>
        </w:rPr>
        <w:t>____________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660B54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4A6CF26E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660B54">
        <w:rPr>
          <w:rFonts w:ascii="Times New Roman" w:hAnsi="Times New Roman" w:cs="Times New Roman"/>
          <w:b/>
          <w:sz w:val="22"/>
          <w:szCs w:val="22"/>
        </w:rPr>
        <w:t>4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28AD5D4B" w14:textId="77777777" w:rsidR="00677D21" w:rsidRPr="00B76858" w:rsidRDefault="00677D21" w:rsidP="00677D21">
      <w:pPr>
        <w:suppressAutoHyphens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  <w:r w:rsidRPr="00B76858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B76858">
        <w:rPr>
          <w:rFonts w:ascii="Times New Roman" w:hAnsi="Times New Roman" w:cs="Times New Roman"/>
          <w:color w:val="000000"/>
          <w:spacing w:val="-3"/>
          <w:sz w:val="22"/>
          <w:szCs w:val="22"/>
        </w:rPr>
        <w:t>именуемое в дальнейшем</w:t>
      </w:r>
      <w:r w:rsidRPr="00B76858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«Заказчик», </w:t>
      </w:r>
      <w:r w:rsidRPr="00B76858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B76858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B76858">
        <w:rPr>
          <w:rFonts w:ascii="Times New Roman" w:hAnsi="Times New Roman" w:cs="Times New Roman"/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B76858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</w:t>
      </w:r>
    </w:p>
    <w:p w14:paraId="1DE0C15E" w14:textId="063461E7" w:rsidR="00677D21" w:rsidRPr="00B76858" w:rsidRDefault="00660B54" w:rsidP="00677D21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</w:t>
      </w:r>
      <w:r w:rsidR="00677D21" w:rsidRPr="00B76858">
        <w:rPr>
          <w:rFonts w:ascii="Times New Roman" w:hAnsi="Times New Roman" w:cs="Times New Roman"/>
          <w:b/>
          <w:sz w:val="22"/>
          <w:szCs w:val="22"/>
        </w:rPr>
        <w:t>,</w:t>
      </w:r>
      <w:r w:rsidR="00677D21" w:rsidRPr="00B76858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677D21" w:rsidRPr="00B76858">
        <w:rPr>
          <w:rFonts w:ascii="Times New Roman" w:hAnsi="Times New Roman" w:cs="Times New Roman"/>
          <w:b/>
          <w:sz w:val="22"/>
          <w:szCs w:val="22"/>
        </w:rPr>
        <w:t>«Подрядчик»,</w:t>
      </w:r>
      <w:r w:rsidR="00677D21" w:rsidRPr="00B76858">
        <w:rPr>
          <w:rFonts w:ascii="Times New Roman" w:hAnsi="Times New Roman" w:cs="Times New Roman"/>
          <w:sz w:val="22"/>
          <w:szCs w:val="22"/>
        </w:rPr>
        <w:t xml:space="preserve"> в лице 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="00677D21" w:rsidRPr="00B76858">
        <w:rPr>
          <w:rFonts w:ascii="Times New Roman" w:hAnsi="Times New Roman" w:cs="Times New Roman"/>
          <w:sz w:val="22"/>
          <w:szCs w:val="22"/>
        </w:rPr>
        <w:t xml:space="preserve">, действующего(-ей) на основании 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="00677D21" w:rsidRPr="00B76858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49B9DAAB" w14:textId="0BB91369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660B54">
        <w:rPr>
          <w:rFonts w:ascii="Times New Roman" w:eastAsia="Times New Roman" w:hAnsi="Times New Roman" w:cs="Times New Roman"/>
          <w:spacing w:val="4"/>
          <w:sz w:val="22"/>
          <w:szCs w:val="22"/>
        </w:rPr>
        <w:t>_____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60B54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7B90CE6F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3F84CAA6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9C44FA" w:rsidRPr="00ED21D6">
        <w:rPr>
          <w:rFonts w:ascii="Times New Roman" w:hAnsi="Times New Roman" w:cs="Times New Roman"/>
          <w:sz w:val="22"/>
          <w:szCs w:val="22"/>
        </w:rPr>
        <w:t>п</w:t>
      </w:r>
      <w:r w:rsidR="009C44FA">
        <w:rPr>
          <w:rFonts w:ascii="Times New Roman" w:hAnsi="Times New Roman" w:cs="Times New Roman"/>
          <w:sz w:val="22"/>
          <w:szCs w:val="22"/>
        </w:rPr>
        <w:t>одразделом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9C44FA"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9C44FA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9821203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722F124C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660B54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262570D6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660B54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24072E9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660B54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37067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6BFD8A8E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660B54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D7A6C39" w:rsidR="00ED21D6" w:rsidRPr="00ED21D6" w:rsidRDefault="00660B54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8.2. </w:t>
      </w:r>
      <w:bookmarkStart w:id="1" w:name="_GoBack"/>
      <w:bookmarkEnd w:id="1"/>
      <w:r w:rsidR="00ED21D6" w:rsidRPr="00ED21D6">
        <w:rPr>
          <w:rFonts w:ascii="Times New Roman" w:hAnsi="Times New Roman" w:cs="Times New Roman"/>
          <w:sz w:val="22"/>
          <w:szCs w:val="22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21469F15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660B54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ED21D6">
        <w:rPr>
          <w:rFonts w:ascii="Times New Roman" w:hAnsi="Times New Roman" w:cs="Times New Roman"/>
          <w:sz w:val="22"/>
          <w:szCs w:val="22"/>
        </w:rPr>
        <w:t>о  режиме</w:t>
      </w:r>
      <w:proofErr w:type="gramEnd"/>
      <w:r w:rsidRPr="00ED21D6">
        <w:rPr>
          <w:rFonts w:ascii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836"/>
        <w:gridCol w:w="4836"/>
      </w:tblGrid>
      <w:tr w:rsidR="00677D21" w:rsidRPr="007319FB" w14:paraId="42684DF9" w14:textId="77777777" w:rsidTr="00677D21">
        <w:trPr>
          <w:cantSplit/>
        </w:trPr>
        <w:tc>
          <w:tcPr>
            <w:tcW w:w="4836" w:type="dxa"/>
          </w:tcPr>
          <w:p w14:paraId="649CC9CD" w14:textId="77777777" w:rsidR="00677D21" w:rsidRPr="007539D2" w:rsidRDefault="00677D21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2870C5BA" w14:textId="0BC1D1EE" w:rsidR="00677D21" w:rsidRDefault="00677D21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9F411F" w14:textId="77777777" w:rsidR="00660B54" w:rsidRPr="007539D2" w:rsidRDefault="00660B54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95E3D60" w14:textId="2ED0DC0D" w:rsidR="00677D21" w:rsidRDefault="00677D21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</w:p>
          <w:p w14:paraId="7F654651" w14:textId="77777777" w:rsidR="00677D21" w:rsidRPr="007539D2" w:rsidRDefault="00677D21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36" w:type="dxa"/>
          </w:tcPr>
          <w:p w14:paraId="6B478556" w14:textId="77777777" w:rsidR="00677D21" w:rsidRPr="007539D2" w:rsidRDefault="00677D21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31D33472" w14:textId="77777777" w:rsidR="00677D21" w:rsidRPr="007539D2" w:rsidRDefault="00677D21" w:rsidP="00832C8E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0E8FCB2A" w14:textId="77777777" w:rsidR="00677D21" w:rsidRPr="007539D2" w:rsidRDefault="00677D21" w:rsidP="00832C8E">
            <w:pPr>
              <w:pStyle w:val="26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3D71C441" w14:textId="77777777" w:rsidR="00677D21" w:rsidRPr="007539D2" w:rsidRDefault="00677D21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5082BBB7" w14:textId="77777777" w:rsidR="00677D21" w:rsidRPr="007319FB" w:rsidRDefault="00677D21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38BED38" w14:textId="5516A7A3" w:rsidR="004A2C61" w:rsidRPr="00ED21D6" w:rsidRDefault="004A2C61" w:rsidP="00B071C0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115C" w14:textId="77777777" w:rsidR="00C807A2" w:rsidRDefault="00C807A2" w:rsidP="00BF32C2">
      <w:r>
        <w:separator/>
      </w:r>
    </w:p>
  </w:endnote>
  <w:endnote w:type="continuationSeparator" w:id="0">
    <w:p w14:paraId="4F9B8D42" w14:textId="77777777" w:rsidR="00C807A2" w:rsidRDefault="00C807A2" w:rsidP="00BF32C2">
      <w:r>
        <w:continuationSeparator/>
      </w:r>
    </w:p>
  </w:endnote>
  <w:endnote w:type="continuationNotice" w:id="1">
    <w:p w14:paraId="5F6C6DF0" w14:textId="77777777" w:rsidR="00C807A2" w:rsidRDefault="00C80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A7CC225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660B54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598E4" w14:textId="77777777" w:rsidR="00C807A2" w:rsidRDefault="00C807A2" w:rsidP="00BF32C2">
      <w:r>
        <w:separator/>
      </w:r>
    </w:p>
  </w:footnote>
  <w:footnote w:type="continuationSeparator" w:id="0">
    <w:p w14:paraId="18AB3568" w14:textId="77777777" w:rsidR="00C807A2" w:rsidRDefault="00C807A2" w:rsidP="00BF32C2">
      <w:r>
        <w:continuationSeparator/>
      </w:r>
    </w:p>
  </w:footnote>
  <w:footnote w:type="continuationNotice" w:id="1">
    <w:p w14:paraId="77C94BBF" w14:textId="77777777" w:rsidR="00C807A2" w:rsidRDefault="00C807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51B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2309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96B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0248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4F0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2159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4E4F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C90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51A0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BF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067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0B54"/>
    <w:rsid w:val="00661F2C"/>
    <w:rsid w:val="006627A6"/>
    <w:rsid w:val="006636BC"/>
    <w:rsid w:val="00665157"/>
    <w:rsid w:val="00665D2D"/>
    <w:rsid w:val="00665D5F"/>
    <w:rsid w:val="00667009"/>
    <w:rsid w:val="00670674"/>
    <w:rsid w:val="00671015"/>
    <w:rsid w:val="00671782"/>
    <w:rsid w:val="00676ADF"/>
    <w:rsid w:val="006770ED"/>
    <w:rsid w:val="00677D21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371CE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27EF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4883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079B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5A41"/>
    <w:rsid w:val="008765E3"/>
    <w:rsid w:val="00876742"/>
    <w:rsid w:val="00876CAB"/>
    <w:rsid w:val="008777B9"/>
    <w:rsid w:val="00880298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19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6DA1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FD4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44FA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A2B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4745E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49D4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858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07A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3580"/>
    <w:rsid w:val="00E74D4E"/>
    <w:rsid w:val="00E74E5B"/>
    <w:rsid w:val="00E74E83"/>
    <w:rsid w:val="00E7590B"/>
    <w:rsid w:val="00E75E65"/>
    <w:rsid w:val="00E81B82"/>
    <w:rsid w:val="00E8442A"/>
    <w:rsid w:val="00E84F4A"/>
    <w:rsid w:val="00E852DC"/>
    <w:rsid w:val="00E85AE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5F24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0"/>
    <w:link w:val="27"/>
    <w:uiPriority w:val="99"/>
    <w:unhideWhenUsed/>
    <w:rsid w:val="00677D21"/>
    <w:pPr>
      <w:spacing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rsid w:val="0067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Tatarintseva Nadezhda</cp:lastModifiedBy>
  <cp:revision>31</cp:revision>
  <cp:lastPrinted>2021-11-15T06:23:00Z</cp:lastPrinted>
  <dcterms:created xsi:type="dcterms:W3CDTF">2021-10-05T03:36:00Z</dcterms:created>
  <dcterms:modified xsi:type="dcterms:W3CDTF">2024-01-15T04:07:00Z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