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E1060E" w:rsidRPr="002565C8">
        <w:rPr>
          <w:bCs w:val="0"/>
          <w:sz w:val="22"/>
          <w:szCs w:val="22"/>
        </w:rPr>
        <w:t>2/2022-ЦЦР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18.01.2021 № 28,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Pr="00E1060E">
        <w:rPr>
          <w:b w:val="0"/>
          <w:bCs w:val="0"/>
          <w:sz w:val="22"/>
          <w:szCs w:val="22"/>
        </w:rPr>
        <w:t>2/2022-</w:t>
      </w:r>
      <w:proofErr w:type="gramStart"/>
      <w:r w:rsidRPr="00E1060E">
        <w:rPr>
          <w:b w:val="0"/>
          <w:bCs w:val="0"/>
          <w:sz w:val="22"/>
          <w:szCs w:val="22"/>
        </w:rPr>
        <w:t>ЦЦР</w:t>
      </w:r>
      <w:r>
        <w:rPr>
          <w:b w:val="0"/>
          <w:bCs w:val="0"/>
          <w:sz w:val="22"/>
          <w:szCs w:val="22"/>
        </w:rPr>
        <w:t xml:space="preserve"> </w:t>
      </w:r>
      <w:r>
        <w:rPr>
          <w:spacing w:val="4"/>
        </w:rPr>
        <w:t xml:space="preserve"> </w:t>
      </w:r>
      <w:r w:rsidR="00C05994" w:rsidRPr="00E1060E">
        <w:rPr>
          <w:b w:val="0"/>
          <w:spacing w:val="4"/>
        </w:rPr>
        <w:t>от</w:t>
      </w:r>
      <w:proofErr w:type="gramEnd"/>
      <w:r w:rsidR="00C05994" w:rsidRPr="00E1060E">
        <w:rPr>
          <w:b w:val="0"/>
          <w:spacing w:val="4"/>
        </w:rPr>
        <w:t xml:space="preserve">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4" w:name="_Ref499613849"/>
    </w:p>
    <w:bookmarkEnd w:id="4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bookmarkStart w:id="10" w:name="_GoBack"/>
                  <w:bookmarkEnd w:id="10"/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81" w:rsidRDefault="00D03981" w:rsidP="00C05994">
      <w:pPr>
        <w:spacing w:after="0" w:line="240" w:lineRule="auto"/>
      </w:pPr>
      <w:r>
        <w:separator/>
      </w:r>
    </w:p>
  </w:endnote>
  <w:end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81" w:rsidRDefault="00D03981" w:rsidP="00C05994">
      <w:pPr>
        <w:spacing w:after="0" w:line="240" w:lineRule="auto"/>
      </w:pPr>
      <w:r>
        <w:separator/>
      </w:r>
    </w:p>
  </w:footnote>
  <w:footnote w:type="continuationSeparator" w:id="0">
    <w:p w:rsidR="00D03981" w:rsidRDefault="00D03981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101F3F"/>
    <w:rsid w:val="00262F11"/>
    <w:rsid w:val="002E615B"/>
    <w:rsid w:val="00374434"/>
    <w:rsid w:val="004B0C04"/>
    <w:rsid w:val="00791954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2BDD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12</Pages>
  <Words>6057</Words>
  <Characters>34525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13</cp:revision>
  <dcterms:created xsi:type="dcterms:W3CDTF">2021-10-11T03:46:00Z</dcterms:created>
  <dcterms:modified xsi:type="dcterms:W3CDTF">2022-01-20T08:45:00Z</dcterms:modified>
</cp:coreProperties>
</file>