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2FE9B2" w14:textId="104ADF53" w:rsidR="00321141" w:rsidRPr="00321141" w:rsidRDefault="00321141" w:rsidP="00321141">
      <w:pPr>
        <w:ind w:left="2832"/>
        <w:jc w:val="right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№ </w:t>
      </w:r>
      <w:r w:rsidR="00633CE1">
        <w:rPr>
          <w:rFonts w:ascii="Times New Roman" w:eastAsia="Times New Roman" w:hAnsi="Times New Roman" w:cs="Times New Roman"/>
          <w:sz w:val="18"/>
          <w:szCs w:val="18"/>
          <w:lang w:eastAsia="ru-RU"/>
        </w:rPr>
        <w:t>5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договору от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№</w:t>
      </w:r>
      <w:r w:rsidR="00170D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</w:t>
      </w:r>
      <w:proofErr w:type="gramStart"/>
      <w:r w:rsidR="00170DF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</w:t>
      </w:r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(</w:t>
      </w:r>
      <w:proofErr w:type="gramEnd"/>
      <w:r w:rsidRPr="00321141">
        <w:rPr>
          <w:rFonts w:ascii="Times New Roman" w:eastAsia="Times New Roman" w:hAnsi="Times New Roman" w:cs="Times New Roman"/>
          <w:sz w:val="18"/>
          <w:szCs w:val="18"/>
          <w:lang w:eastAsia="ru-RU"/>
        </w:rPr>
        <w:t>далее – Договор)</w:t>
      </w:r>
    </w:p>
    <w:p w14:paraId="344DC644" w14:textId="77777777" w:rsidR="002A705D" w:rsidRPr="00321141" w:rsidRDefault="002A705D" w:rsidP="00053739">
      <w:pPr>
        <w:pStyle w:val="50"/>
        <w:shd w:val="clear" w:color="auto" w:fill="auto"/>
        <w:spacing w:before="0" w:after="295" w:line="240" w:lineRule="auto"/>
        <w:ind w:left="40"/>
        <w:contextualSpacing/>
        <w:jc w:val="center"/>
        <w:rPr>
          <w:b/>
          <w:sz w:val="24"/>
          <w:szCs w:val="24"/>
        </w:rPr>
      </w:pPr>
      <w:r w:rsidRPr="00321141">
        <w:rPr>
          <w:b/>
          <w:sz w:val="24"/>
          <w:szCs w:val="24"/>
        </w:rPr>
        <w:t>Соглашение о соблюдении антикоррупционных условий</w:t>
      </w:r>
    </w:p>
    <w:p w14:paraId="344DC645" w14:textId="5B7464BC" w:rsidR="00053739" w:rsidRPr="00321141" w:rsidRDefault="00053739" w:rsidP="00053739">
      <w:pPr>
        <w:jc w:val="both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г. </w:t>
      </w:r>
      <w:r w:rsidR="00321141" w:rsidRPr="00321141">
        <w:rPr>
          <w:rFonts w:ascii="Times New Roman" w:hAnsi="Times New Roman" w:cs="Times New Roman"/>
          <w:sz w:val="24"/>
          <w:szCs w:val="24"/>
        </w:rPr>
        <w:t>Братск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="00321141"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</w:rPr>
        <w:t xml:space="preserve">«____» _____________ </w:t>
      </w:r>
      <w:r w:rsidR="00321141" w:rsidRPr="00321141">
        <w:rPr>
          <w:rFonts w:ascii="Times New Roman" w:hAnsi="Times New Roman" w:cs="Times New Roman"/>
          <w:sz w:val="24"/>
          <w:szCs w:val="24"/>
        </w:rPr>
        <w:t>202</w:t>
      </w:r>
      <w:r w:rsidR="00D3626F">
        <w:rPr>
          <w:rFonts w:ascii="Times New Roman" w:hAnsi="Times New Roman" w:cs="Times New Roman"/>
          <w:sz w:val="24"/>
          <w:szCs w:val="24"/>
        </w:rPr>
        <w:t>1</w:t>
      </w:r>
      <w:r w:rsidR="00321141" w:rsidRPr="00321141">
        <w:rPr>
          <w:rFonts w:ascii="Times New Roman" w:hAnsi="Times New Roman" w:cs="Times New Roman"/>
          <w:sz w:val="24"/>
          <w:szCs w:val="24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</w:rPr>
        <w:t>г.</w:t>
      </w:r>
    </w:p>
    <w:p w14:paraId="344DC647" w14:textId="2197DA64" w:rsidR="008736DB" w:rsidRPr="00B6064F" w:rsidRDefault="00A42B09" w:rsidP="0098219D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2B09">
        <w:rPr>
          <w:rFonts w:ascii="Times New Roman" w:hAnsi="Times New Roman" w:cs="Times New Roman"/>
          <w:b/>
          <w:sz w:val="24"/>
          <w:szCs w:val="24"/>
        </w:rPr>
        <w:t>Общество с ограниченной ответственностью «Байкальская энергетическая компания» (ООО «Байкальская энергетическая компания»)</w:t>
      </w:r>
      <w:r w:rsidRPr="00A42B09">
        <w:rPr>
          <w:rFonts w:ascii="Times New Roman" w:hAnsi="Times New Roman" w:cs="Times New Roman"/>
          <w:sz w:val="24"/>
          <w:szCs w:val="24"/>
        </w:rPr>
        <w:t>, именуем</w:t>
      </w:r>
      <w:r w:rsidR="00E84424">
        <w:rPr>
          <w:rFonts w:ascii="Times New Roman" w:hAnsi="Times New Roman" w:cs="Times New Roman"/>
          <w:sz w:val="24"/>
          <w:szCs w:val="24"/>
        </w:rPr>
        <w:t>ое</w:t>
      </w:r>
      <w:r w:rsidRPr="00A42B09">
        <w:rPr>
          <w:rFonts w:ascii="Times New Roman" w:hAnsi="Times New Roman" w:cs="Times New Roman"/>
          <w:sz w:val="24"/>
          <w:szCs w:val="24"/>
        </w:rPr>
        <w:t xml:space="preserve"> в дальнейшем «</w:t>
      </w:r>
      <w:r w:rsidRPr="00A42B09">
        <w:rPr>
          <w:rFonts w:ascii="Times New Roman" w:hAnsi="Times New Roman" w:cs="Times New Roman"/>
          <w:b/>
          <w:sz w:val="24"/>
          <w:szCs w:val="24"/>
        </w:rPr>
        <w:t>Заказчик</w:t>
      </w:r>
      <w:r w:rsidRPr="00A42B09">
        <w:rPr>
          <w:rFonts w:ascii="Times New Roman" w:hAnsi="Times New Roman" w:cs="Times New Roman"/>
          <w:sz w:val="24"/>
          <w:szCs w:val="24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</w:t>
      </w:r>
      <w:r w:rsidR="00914DD4">
        <w:rPr>
          <w:rFonts w:ascii="Times New Roman" w:hAnsi="Times New Roman" w:cs="Times New Roman"/>
          <w:sz w:val="24"/>
          <w:szCs w:val="24"/>
        </w:rPr>
        <w:t>21</w:t>
      </w:r>
      <w:bookmarkStart w:id="0" w:name="_GoBack"/>
      <w:bookmarkEnd w:id="0"/>
      <w:r w:rsidRPr="00A42B09">
        <w:rPr>
          <w:rFonts w:ascii="Times New Roman" w:hAnsi="Times New Roman" w:cs="Times New Roman"/>
          <w:sz w:val="24"/>
          <w:szCs w:val="24"/>
        </w:rPr>
        <w:t xml:space="preserve"> № </w:t>
      </w:r>
      <w:r w:rsidR="00914DD4" w:rsidRPr="00914DD4">
        <w:rPr>
          <w:rFonts w:ascii="Times New Roman" w:hAnsi="Times New Roman" w:cs="Times New Roman"/>
          <w:sz w:val="24"/>
          <w:szCs w:val="24"/>
        </w:rPr>
        <w:t>253</w:t>
      </w:r>
      <w:r w:rsidR="00321141" w:rsidRPr="00A42B09">
        <w:rPr>
          <w:rFonts w:ascii="Times New Roman" w:hAnsi="Times New Roman" w:cs="Times New Roman"/>
          <w:sz w:val="24"/>
          <w:szCs w:val="24"/>
        </w:rPr>
        <w:t xml:space="preserve">, с одной стороны, </w:t>
      </w:r>
      <w:r w:rsidR="00B6064F" w:rsidRPr="00A42B09"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)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именуемое в дальнейшем </w:t>
      </w:r>
      <w:r w:rsidR="00B6064F" w:rsidRPr="00B6064F">
        <w:rPr>
          <w:rFonts w:ascii="Times New Roman" w:hAnsi="Times New Roman" w:cs="Times New Roman"/>
          <w:b/>
          <w:sz w:val="24"/>
          <w:szCs w:val="24"/>
        </w:rPr>
        <w:t>«Подрядчик»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B6064F" w:rsidRPr="00B6064F">
        <w:rPr>
          <w:rFonts w:ascii="Times New Roman" w:hAnsi="Times New Roman" w:cs="Times New Roman"/>
          <w:sz w:val="24"/>
          <w:szCs w:val="24"/>
        </w:rPr>
        <w:t xml:space="preserve">, действующего на основании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053739" w:rsidRPr="00B6064F">
        <w:rPr>
          <w:rFonts w:ascii="Times New Roman" w:hAnsi="Times New Roman" w:cs="Times New Roman"/>
          <w:sz w:val="24"/>
          <w:szCs w:val="24"/>
        </w:rPr>
        <w:t>, с другой стор</w:t>
      </w:r>
      <w:r w:rsidR="00A147A6" w:rsidRPr="00B6064F">
        <w:rPr>
          <w:rFonts w:ascii="Times New Roman" w:hAnsi="Times New Roman" w:cs="Times New Roman"/>
          <w:sz w:val="24"/>
          <w:szCs w:val="24"/>
        </w:rPr>
        <w:t>оны, заключили настоящее соглашение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 </w:t>
      </w:r>
      <w:r w:rsidR="0098219D" w:rsidRPr="00B6064F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53739" w:rsidRPr="00B6064F">
        <w:rPr>
          <w:rFonts w:ascii="Times New Roman" w:hAnsi="Times New Roman" w:cs="Times New Roman"/>
          <w:sz w:val="24"/>
          <w:szCs w:val="24"/>
        </w:rPr>
        <w:t xml:space="preserve">о нижеследующем: </w:t>
      </w:r>
    </w:p>
    <w:p w14:paraId="344DC648" w14:textId="0844769F" w:rsidR="000557EC" w:rsidRPr="00B6064F" w:rsidRDefault="00321141" w:rsidP="000557EC">
      <w:pPr>
        <w:tabs>
          <w:tab w:val="left" w:pos="535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>1.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При исполнении обязательств </w:t>
      </w:r>
      <w:r w:rsidR="000557EC" w:rsidRPr="00B6064F">
        <w:rPr>
          <w:rFonts w:ascii="Times New Roman" w:hAnsi="Times New Roman" w:cs="Times New Roman"/>
          <w:sz w:val="24"/>
          <w:szCs w:val="24"/>
        </w:rPr>
        <w:t>Стороны,</w:t>
      </w:r>
      <w:r w:rsidR="000557EC" w:rsidRPr="00B6064F">
        <w:rPr>
          <w:rFonts w:ascii="Times New Roman" w:hAnsi="Times New Roman" w:cs="Times New Roman"/>
          <w:sz w:val="24"/>
          <w:szCs w:val="24"/>
          <w:lang w:val="x-none"/>
        </w:rPr>
        <w:t xml:space="preserve"> их аффилированные лица</w:t>
      </w:r>
      <w:r w:rsidR="000557EC" w:rsidRPr="00B6064F">
        <w:rPr>
          <w:rFonts w:ascii="Times New Roman" w:hAnsi="Times New Roman" w:cs="Times New Roman"/>
          <w:sz w:val="24"/>
          <w:szCs w:val="24"/>
        </w:rPr>
        <w:t>, работники или лица, действующие от их имени и (или) в их интересах:</w:t>
      </w:r>
    </w:p>
    <w:p w14:paraId="344DC649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B6064F">
        <w:rPr>
          <w:rFonts w:ascii="Times New Roman" w:hAnsi="Times New Roman" w:cs="Times New Roman"/>
          <w:sz w:val="24"/>
          <w:szCs w:val="24"/>
        </w:rPr>
        <w:t xml:space="preserve">(1) </w:t>
      </w:r>
      <w:r w:rsidRPr="00B6064F">
        <w:rPr>
          <w:rFonts w:ascii="Times New Roman" w:hAnsi="Times New Roman" w:cs="Times New Roman"/>
          <w:sz w:val="24"/>
          <w:szCs w:val="24"/>
        </w:rPr>
        <w:tab/>
      </w:r>
      <w:r w:rsidRPr="00B6064F">
        <w:rPr>
          <w:rFonts w:ascii="Times New Roman" w:hAnsi="Times New Roman" w:cs="Times New Roman"/>
          <w:sz w:val="24"/>
          <w:szCs w:val="24"/>
          <w:lang w:val="x-none"/>
        </w:rPr>
        <w:t>лично или через посредников не осуществляют, не предлагают, не требуют, не добиваются, не разрешают, не дают согласие осуществлять передачу или получение вознаграждения в виде денежных средств, ценных бумаг, иного имущества, оказания услуг имущественного характера, предоставления имущественных прав прямо или косвенно любым лицам, включая, но, не ограничиваясь, коммерческим организациям и их представителям, органам власти и самоуправления, государственным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и муниципальным служащим, для оказания влияния на действия или решения этих или иных лиц с целью получить какие-либо</w:t>
      </w:r>
      <w:r w:rsidRPr="00321141">
        <w:rPr>
          <w:rFonts w:ascii="Times New Roman" w:hAnsi="Times New Roman" w:cs="Times New Roman"/>
          <w:sz w:val="24"/>
          <w:szCs w:val="24"/>
        </w:rPr>
        <w:t xml:space="preserve"> неправомерные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преимущества или реализовать неправомерные цели, а также не оказывают содействие в реализации данных незаконных действий;</w:t>
      </w:r>
    </w:p>
    <w:p w14:paraId="344DC64A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>(2)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ab/>
        <w:t>не злоупотребляют и не пренебрегают своими полномочиями в целях извлечения выгод и преимуществ для себя или других лиц либо нанесения вреда другим лицам;</w:t>
      </w:r>
    </w:p>
    <w:p w14:paraId="344DC64B" w14:textId="77777777" w:rsidR="000557EC" w:rsidRPr="00321141" w:rsidRDefault="000557EC" w:rsidP="000557EC">
      <w:pPr>
        <w:suppressAutoHyphens/>
        <w:spacing w:after="0" w:line="240" w:lineRule="auto"/>
        <w:ind w:left="959" w:hanging="425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</w:rPr>
        <w:t xml:space="preserve">(3) </w:t>
      </w:r>
      <w:r w:rsidRPr="00321141">
        <w:rPr>
          <w:rFonts w:ascii="Times New Roman" w:hAnsi="Times New Roman" w:cs="Times New Roman"/>
          <w:sz w:val="24"/>
          <w:szCs w:val="24"/>
        </w:rPr>
        <w:tab/>
        <w:t>не осуществляют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</w:p>
    <w:p w14:paraId="344DC64C" w14:textId="63720EBC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2.</w:t>
      </w:r>
      <w:r w:rsidR="000557EC" w:rsidRPr="00321141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В</w:t>
      </w:r>
      <w:proofErr w:type="gramEnd"/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случае возникновения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у Сторон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подозрений, что произошло или может произойти нарушение каких-либо антикоррупционных условий, 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соответствующая Сторона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>обязуется уведомить</w:t>
      </w:r>
      <w:r w:rsidR="000557EC" w:rsidRPr="00321141">
        <w:rPr>
          <w:rFonts w:ascii="Times New Roman" w:hAnsi="Times New Roman" w:cs="Times New Roman"/>
          <w:sz w:val="24"/>
          <w:szCs w:val="24"/>
        </w:rPr>
        <w:t xml:space="preserve"> другую Сторону об этом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в письменной форме.</w:t>
      </w:r>
    </w:p>
    <w:p w14:paraId="344DC64D" w14:textId="77777777" w:rsidR="000557EC" w:rsidRPr="00321141" w:rsidRDefault="000557EC" w:rsidP="000557EC">
      <w:pPr>
        <w:widowControl w:val="0"/>
        <w:tabs>
          <w:tab w:val="left" w:pos="535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3.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В письменном уведомлении </w:t>
      </w:r>
      <w:r w:rsidRPr="00321141">
        <w:rPr>
          <w:rFonts w:ascii="Times New Roman" w:hAnsi="Times New Roman" w:cs="Times New Roman"/>
          <w:sz w:val="24"/>
          <w:szCs w:val="24"/>
        </w:rPr>
        <w:t>Сторона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обязан</w:t>
      </w:r>
      <w:r w:rsidRPr="00321141">
        <w:rPr>
          <w:rFonts w:ascii="Times New Roman" w:hAnsi="Times New Roman" w:cs="Times New Roman"/>
          <w:sz w:val="24"/>
          <w:szCs w:val="24"/>
        </w:rPr>
        <w:t>а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</w:t>
      </w:r>
      <w:r w:rsidRPr="00321141">
        <w:rPr>
          <w:rFonts w:ascii="Times New Roman" w:hAnsi="Times New Roman" w:cs="Times New Roman"/>
          <w:sz w:val="24"/>
          <w:szCs w:val="24"/>
        </w:rPr>
        <w:t>контрагентом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, его аффилированными лицами, </w:t>
      </w:r>
      <w:r w:rsidRPr="00321141">
        <w:rPr>
          <w:rFonts w:ascii="Times New Roman" w:hAnsi="Times New Roman" w:cs="Times New Roman"/>
          <w:sz w:val="24"/>
          <w:szCs w:val="24"/>
        </w:rPr>
        <w:t xml:space="preserve">работниками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344DC64E" w14:textId="4587646A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4.</w:t>
      </w:r>
      <w:r w:rsidRPr="00321141">
        <w:rPr>
          <w:rFonts w:ascii="Times New Roman" w:hAnsi="Times New Roman" w:cs="Times New Roman"/>
          <w:sz w:val="24"/>
          <w:szCs w:val="24"/>
        </w:rPr>
        <w:tab/>
        <w:t xml:space="preserve">Стороны прилагают разумные усилия, чтобы минимизировать риск возникновения деловых отношений с контрагентами, вовлеченными в коррупционную деятельность, а также оказывают взаимное содействие друг другу в целях предотвращения коррупции. Стороны </w:t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обязуются обеспечивать непрерывное функционирование системы внутреннего контроля, соблюдать регламенты и политики по мониторингу, запрещению и предотвращению каких-либо действий, которые могут рассматриваться как нарушение антикоррупционного законодательства.</w:t>
      </w:r>
    </w:p>
    <w:p w14:paraId="344DC64F" w14:textId="76240840" w:rsidR="000557EC" w:rsidRPr="00321141" w:rsidRDefault="000557EC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5.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Pr="00321141">
        <w:rPr>
          <w:rFonts w:ascii="Times New Roman" w:hAnsi="Times New Roman" w:cs="Times New Roman"/>
          <w:sz w:val="24"/>
          <w:szCs w:val="24"/>
          <w:lang w:val="x-none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344DC650" w14:textId="12D5FF2F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321141">
        <w:rPr>
          <w:rFonts w:ascii="Times New Roman" w:hAnsi="Times New Roman" w:cs="Times New Roman"/>
          <w:sz w:val="24"/>
          <w:szCs w:val="24"/>
        </w:rPr>
        <w:t>6.</w:t>
      </w:r>
      <w:r w:rsidRPr="00321141">
        <w:rPr>
          <w:rFonts w:ascii="Times New Roman" w:hAnsi="Times New Roman" w:cs="Times New Roman"/>
          <w:sz w:val="24"/>
          <w:szCs w:val="24"/>
        </w:rPr>
        <w:tab/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Стороны гарантируют осуществление надлежащего разбирательства по </w:t>
      </w:r>
      <w:r w:rsidR="000557EC" w:rsidRPr="00321141">
        <w:rPr>
          <w:rFonts w:ascii="Times New Roman" w:hAnsi="Times New Roman" w:cs="Times New Roman"/>
          <w:sz w:val="24"/>
          <w:szCs w:val="24"/>
        </w:rPr>
        <w:t>выявленным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фактам с соблюдением принципов конфиденциальности и применение</w:t>
      </w:r>
      <w:r w:rsidR="000557EC" w:rsidRPr="00321141">
        <w:rPr>
          <w:rFonts w:ascii="Times New Roman" w:hAnsi="Times New Roman" w:cs="Times New Roman"/>
          <w:sz w:val="24"/>
          <w:szCs w:val="24"/>
        </w:rPr>
        <w:t>м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эффективных мер по устранению практических затруднений и предотвращению возможных конфликтных 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lastRenderedPageBreak/>
        <w:t xml:space="preserve">ситуаций. </w:t>
      </w:r>
    </w:p>
    <w:p w14:paraId="344DC651" w14:textId="69B2D9E8" w:rsidR="000557EC" w:rsidRPr="00321141" w:rsidRDefault="00321141" w:rsidP="000557EC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7.</w:t>
      </w:r>
      <w:r w:rsidR="000557EC" w:rsidRPr="00321141">
        <w:rPr>
          <w:rFonts w:ascii="Times New Roman" w:hAnsi="Times New Roman" w:cs="Times New Roman"/>
          <w:sz w:val="24"/>
          <w:szCs w:val="24"/>
          <w:lang w:val="x-none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344DC652" w14:textId="4980706D" w:rsidR="002A705D" w:rsidRPr="00321141" w:rsidRDefault="000557EC" w:rsidP="00321141">
      <w:pPr>
        <w:pStyle w:val="a6"/>
        <w:widowControl w:val="0"/>
        <w:tabs>
          <w:tab w:val="left" w:pos="535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hAnsi="Times New Roman" w:cs="Times New Roman"/>
          <w:sz w:val="24"/>
          <w:szCs w:val="24"/>
          <w:lang w:val="x-none"/>
        </w:rPr>
      </w:pPr>
      <w:r w:rsidRPr="00321141">
        <w:rPr>
          <w:rFonts w:ascii="Times New Roman" w:hAnsi="Times New Roman" w:cs="Times New Roman"/>
          <w:sz w:val="24"/>
          <w:szCs w:val="24"/>
          <w:lang w:val="x-none"/>
        </w:rPr>
        <w:t>8.</w:t>
      </w:r>
      <w:r w:rsidR="00321141" w:rsidRPr="00321141">
        <w:rPr>
          <w:rFonts w:ascii="Times New Roman" w:hAnsi="Times New Roman" w:cs="Times New Roman"/>
          <w:sz w:val="24"/>
          <w:szCs w:val="24"/>
          <w:lang w:val="x-none"/>
        </w:rPr>
        <w:tab/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Настоящее Соглашение составлено в 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2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 xml:space="preserve"> (</w:t>
      </w:r>
      <w:r w:rsidR="006B3C0A" w:rsidRPr="00321141">
        <w:rPr>
          <w:rFonts w:ascii="Times New Roman" w:hAnsi="Times New Roman" w:cs="Times New Roman"/>
          <w:sz w:val="24"/>
          <w:szCs w:val="24"/>
          <w:lang w:val="x-none"/>
        </w:rPr>
        <w:t>двух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) экземплярах на русском языке, имеющих равную юридическую силу, каждый из которых является оригиналом, по 1</w:t>
      </w:r>
      <w:r w:rsidR="00421EC7">
        <w:rPr>
          <w:rFonts w:ascii="Times New Roman" w:hAnsi="Times New Roman" w:cs="Times New Roman"/>
          <w:sz w:val="24"/>
          <w:szCs w:val="24"/>
        </w:rPr>
        <w:t> </w:t>
      </w:r>
      <w:r w:rsidR="002A705D" w:rsidRPr="00321141">
        <w:rPr>
          <w:rFonts w:ascii="Times New Roman" w:hAnsi="Times New Roman" w:cs="Times New Roman"/>
          <w:sz w:val="24"/>
          <w:szCs w:val="24"/>
          <w:lang w:val="x-none"/>
        </w:rPr>
        <w:t>(одному) для каждой из Сторон.</w:t>
      </w:r>
    </w:p>
    <w:tbl>
      <w:tblPr>
        <w:tblW w:w="9945" w:type="dxa"/>
        <w:tblLayout w:type="fixed"/>
        <w:tblLook w:val="0000" w:firstRow="0" w:lastRow="0" w:firstColumn="0" w:lastColumn="0" w:noHBand="0" w:noVBand="0"/>
      </w:tblPr>
      <w:tblGrid>
        <w:gridCol w:w="5328"/>
        <w:gridCol w:w="4617"/>
      </w:tblGrid>
      <w:tr w:rsidR="00321141" w:rsidRPr="00321141" w14:paraId="5C6A70AC" w14:textId="77777777" w:rsidTr="00CA67ED">
        <w:tc>
          <w:tcPr>
            <w:tcW w:w="5328" w:type="dxa"/>
          </w:tcPr>
          <w:p w14:paraId="1A1D5F8B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73E727F7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05F53215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Заказчик:</w:t>
            </w:r>
          </w:p>
        </w:tc>
        <w:tc>
          <w:tcPr>
            <w:tcW w:w="4617" w:type="dxa"/>
          </w:tcPr>
          <w:p w14:paraId="2A8F1324" w14:textId="60B325FA" w:rsid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53C4DB0F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  <w:p w14:paraId="4DDE18C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  <w:r w:rsidRPr="00321141">
              <w:rPr>
                <w:b/>
              </w:rPr>
              <w:t>Подрядчик:</w:t>
            </w:r>
          </w:p>
        </w:tc>
      </w:tr>
      <w:tr w:rsidR="00321141" w:rsidRPr="00321141" w14:paraId="43E5B613" w14:textId="77777777" w:rsidTr="00CA67ED">
        <w:tc>
          <w:tcPr>
            <w:tcW w:w="5328" w:type="dxa"/>
          </w:tcPr>
          <w:p w14:paraId="7A716E84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t>Директор филиала</w:t>
            </w:r>
          </w:p>
          <w:p w14:paraId="4A4200BB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  <w:r w:rsidRPr="0084150E">
              <w:t xml:space="preserve">ООО «Байкальская энергетическая </w:t>
            </w:r>
          </w:p>
          <w:p w14:paraId="6CA9BDB4" w14:textId="7AA5EB54" w:rsidR="00321141" w:rsidRPr="00321141" w:rsidRDefault="00A42B09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84150E">
              <w:t>компания»</w:t>
            </w:r>
            <w:r w:rsidR="00321141" w:rsidRPr="00321141">
              <w:t xml:space="preserve"> ТЭЦ-6</w:t>
            </w:r>
          </w:p>
          <w:p w14:paraId="0AB2C6E3" w14:textId="7777777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  <w:rPr>
                <w:bCs/>
              </w:rPr>
            </w:pPr>
            <w:r w:rsidRPr="00321141">
              <w:rPr>
                <w:bCs/>
              </w:rPr>
              <w:t>______________</w:t>
            </w:r>
            <w:r w:rsidRPr="00321141">
              <w:t xml:space="preserve"> С.И. Коноплев</w:t>
            </w:r>
          </w:p>
          <w:p w14:paraId="07849AEE" w14:textId="77777777" w:rsidR="00321141" w:rsidRPr="00321141" w:rsidRDefault="00321141" w:rsidP="00A42B09">
            <w:pPr>
              <w:pStyle w:val="a4"/>
              <w:jc w:val="left"/>
              <w:outlineLvl w:val="0"/>
              <w:rPr>
                <w:b/>
              </w:rPr>
            </w:pPr>
          </w:p>
        </w:tc>
        <w:tc>
          <w:tcPr>
            <w:tcW w:w="4617" w:type="dxa"/>
          </w:tcPr>
          <w:p w14:paraId="0538533D" w14:textId="0780D217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5CDDF62B" w14:textId="6122F2A7" w:rsidR="00321141" w:rsidRDefault="00321141" w:rsidP="00A42B09">
            <w:pPr>
              <w:pStyle w:val="a7"/>
              <w:tabs>
                <w:tab w:val="left" w:pos="5264"/>
              </w:tabs>
              <w:ind w:left="0"/>
            </w:pPr>
          </w:p>
          <w:p w14:paraId="14C3E004" w14:textId="77777777" w:rsidR="00A42B09" w:rsidRDefault="00A42B09" w:rsidP="00A42B09">
            <w:pPr>
              <w:pStyle w:val="a7"/>
              <w:tabs>
                <w:tab w:val="left" w:pos="5264"/>
              </w:tabs>
              <w:ind w:left="0"/>
            </w:pPr>
          </w:p>
          <w:p w14:paraId="22A81436" w14:textId="05467292" w:rsidR="00321141" w:rsidRPr="00321141" w:rsidRDefault="00321141" w:rsidP="00A42B09">
            <w:pPr>
              <w:pStyle w:val="a7"/>
              <w:tabs>
                <w:tab w:val="left" w:pos="5264"/>
              </w:tabs>
              <w:ind w:left="0"/>
            </w:pPr>
            <w:r w:rsidRPr="00321141">
              <w:t xml:space="preserve">_______________ </w:t>
            </w:r>
          </w:p>
          <w:p w14:paraId="251C25E0" w14:textId="77777777" w:rsidR="00321141" w:rsidRPr="00321141" w:rsidRDefault="00321141" w:rsidP="00A42B09">
            <w:pPr>
              <w:pStyle w:val="a4"/>
              <w:jc w:val="left"/>
              <w:outlineLvl w:val="0"/>
            </w:pPr>
          </w:p>
        </w:tc>
      </w:tr>
    </w:tbl>
    <w:p w14:paraId="5E86DD7A" w14:textId="77777777" w:rsidR="00321141" w:rsidRDefault="00321141" w:rsidP="00321141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14:paraId="76EB84B5" w14:textId="77777777" w:rsidR="00321141" w:rsidRDefault="00321141" w:rsidP="00321141">
      <w:pPr>
        <w:tabs>
          <w:tab w:val="left" w:pos="0"/>
          <w:tab w:val="left" w:pos="993"/>
        </w:tabs>
        <w:ind w:firstLine="567"/>
        <w:jc w:val="both"/>
      </w:pPr>
    </w:p>
    <w:p w14:paraId="444F0977" w14:textId="77777777" w:rsidR="00321141" w:rsidRDefault="00321141" w:rsidP="00321141"/>
    <w:p w14:paraId="272B01DC" w14:textId="77777777" w:rsidR="00321141" w:rsidRDefault="00321141" w:rsidP="00321141"/>
    <w:p w14:paraId="344DC669" w14:textId="77777777" w:rsidR="00AB16CB" w:rsidRPr="000557EC" w:rsidRDefault="00AB16CB" w:rsidP="00321141">
      <w:pPr>
        <w:pStyle w:val="a6"/>
        <w:jc w:val="center"/>
        <w:rPr>
          <w:rFonts w:ascii="Times New Roman" w:hAnsi="Times New Roman" w:cs="Times New Roman"/>
        </w:rPr>
      </w:pPr>
    </w:p>
    <w:sectPr w:rsidR="00AB16CB" w:rsidRPr="000557EC" w:rsidSect="00321141">
      <w:pgSz w:w="11906" w:h="16838"/>
      <w:pgMar w:top="567" w:right="851" w:bottom="851" w:left="184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05D"/>
    <w:rsid w:val="00017DDE"/>
    <w:rsid w:val="00053739"/>
    <w:rsid w:val="000557EC"/>
    <w:rsid w:val="00076C3A"/>
    <w:rsid w:val="000B1139"/>
    <w:rsid w:val="000D5A69"/>
    <w:rsid w:val="000D6DED"/>
    <w:rsid w:val="001306DF"/>
    <w:rsid w:val="00142127"/>
    <w:rsid w:val="00144498"/>
    <w:rsid w:val="001477A7"/>
    <w:rsid w:val="001632E3"/>
    <w:rsid w:val="00170DF1"/>
    <w:rsid w:val="001753ED"/>
    <w:rsid w:val="001940DF"/>
    <w:rsid w:val="001A1CB0"/>
    <w:rsid w:val="001F69E3"/>
    <w:rsid w:val="00222C74"/>
    <w:rsid w:val="002A1964"/>
    <w:rsid w:val="002A705D"/>
    <w:rsid w:val="002D696F"/>
    <w:rsid w:val="0031470B"/>
    <w:rsid w:val="00316739"/>
    <w:rsid w:val="00321141"/>
    <w:rsid w:val="00340D18"/>
    <w:rsid w:val="00372109"/>
    <w:rsid w:val="00374B8A"/>
    <w:rsid w:val="00392EF4"/>
    <w:rsid w:val="003A3A32"/>
    <w:rsid w:val="003E19C3"/>
    <w:rsid w:val="00402172"/>
    <w:rsid w:val="00404851"/>
    <w:rsid w:val="00421EC7"/>
    <w:rsid w:val="00425773"/>
    <w:rsid w:val="0047658E"/>
    <w:rsid w:val="004B0FFD"/>
    <w:rsid w:val="004D206E"/>
    <w:rsid w:val="004F4385"/>
    <w:rsid w:val="0050070F"/>
    <w:rsid w:val="0051760A"/>
    <w:rsid w:val="005A6674"/>
    <w:rsid w:val="005D6206"/>
    <w:rsid w:val="006160CC"/>
    <w:rsid w:val="00633CE1"/>
    <w:rsid w:val="00635A4E"/>
    <w:rsid w:val="006379BB"/>
    <w:rsid w:val="00643821"/>
    <w:rsid w:val="006443AB"/>
    <w:rsid w:val="00644522"/>
    <w:rsid w:val="00654A41"/>
    <w:rsid w:val="006A33DF"/>
    <w:rsid w:val="006B3C0A"/>
    <w:rsid w:val="006E731B"/>
    <w:rsid w:val="00794DAC"/>
    <w:rsid w:val="007A49F2"/>
    <w:rsid w:val="007A5658"/>
    <w:rsid w:val="00863737"/>
    <w:rsid w:val="008736DB"/>
    <w:rsid w:val="00875987"/>
    <w:rsid w:val="00880383"/>
    <w:rsid w:val="00895176"/>
    <w:rsid w:val="00896270"/>
    <w:rsid w:val="008C340A"/>
    <w:rsid w:val="008C7A31"/>
    <w:rsid w:val="008F2FD2"/>
    <w:rsid w:val="00914DD4"/>
    <w:rsid w:val="00936704"/>
    <w:rsid w:val="0095029B"/>
    <w:rsid w:val="0098219D"/>
    <w:rsid w:val="00995409"/>
    <w:rsid w:val="009B1635"/>
    <w:rsid w:val="009D21A1"/>
    <w:rsid w:val="009D6ACA"/>
    <w:rsid w:val="009E6591"/>
    <w:rsid w:val="00A0513C"/>
    <w:rsid w:val="00A147A6"/>
    <w:rsid w:val="00A36071"/>
    <w:rsid w:val="00A42B09"/>
    <w:rsid w:val="00A7561E"/>
    <w:rsid w:val="00A76B0B"/>
    <w:rsid w:val="00AB16CB"/>
    <w:rsid w:val="00AB4124"/>
    <w:rsid w:val="00AE3867"/>
    <w:rsid w:val="00B00468"/>
    <w:rsid w:val="00B0535C"/>
    <w:rsid w:val="00B12A9A"/>
    <w:rsid w:val="00B20C89"/>
    <w:rsid w:val="00B5584D"/>
    <w:rsid w:val="00B6064F"/>
    <w:rsid w:val="00B6378B"/>
    <w:rsid w:val="00B91F82"/>
    <w:rsid w:val="00B923E4"/>
    <w:rsid w:val="00B965AB"/>
    <w:rsid w:val="00BB0526"/>
    <w:rsid w:val="00BB3C74"/>
    <w:rsid w:val="00BE4534"/>
    <w:rsid w:val="00C03E91"/>
    <w:rsid w:val="00C119E4"/>
    <w:rsid w:val="00CB7C11"/>
    <w:rsid w:val="00CE5FE8"/>
    <w:rsid w:val="00D243FE"/>
    <w:rsid w:val="00D3626F"/>
    <w:rsid w:val="00D434AA"/>
    <w:rsid w:val="00D4698D"/>
    <w:rsid w:val="00D5611A"/>
    <w:rsid w:val="00DA5E5A"/>
    <w:rsid w:val="00DD1541"/>
    <w:rsid w:val="00DE23D0"/>
    <w:rsid w:val="00DF3D72"/>
    <w:rsid w:val="00DF61CB"/>
    <w:rsid w:val="00E06CA7"/>
    <w:rsid w:val="00E10825"/>
    <w:rsid w:val="00E40D6C"/>
    <w:rsid w:val="00E84312"/>
    <w:rsid w:val="00E84424"/>
    <w:rsid w:val="00E92C83"/>
    <w:rsid w:val="00EB2663"/>
    <w:rsid w:val="00EB7786"/>
    <w:rsid w:val="00EE485B"/>
    <w:rsid w:val="00F155F8"/>
    <w:rsid w:val="00F17EEE"/>
    <w:rsid w:val="00F45DEF"/>
    <w:rsid w:val="00F607D5"/>
    <w:rsid w:val="00F94DE7"/>
    <w:rsid w:val="00FB5B43"/>
    <w:rsid w:val="00FC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DC641"/>
  <w15:docId w15:val="{2CFA2F1C-61E0-489A-9D65-6B32B8B00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16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, Знак Знак Знак"/>
    <w:basedOn w:val="a"/>
    <w:link w:val="a5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aliases w:val=" Знак Знак,Знак Знак, Знак Знак Знак Знак"/>
    <w:basedOn w:val="a0"/>
    <w:link w:val="a4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  <w:style w:type="paragraph" w:customStyle="1" w:styleId="ConsPlusNonformat">
    <w:name w:val="ConsPlusNonformat"/>
    <w:uiPriority w:val="99"/>
    <w:rsid w:val="0005373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ody Text Indent"/>
    <w:basedOn w:val="a"/>
    <w:link w:val="a8"/>
    <w:rsid w:val="0032114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rsid w:val="0032114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WUTACPQVHE7E-1195615845-9220</_dlc_DocId>
    <_dlc_DocIdUrl xmlns="30e719df-8a88-48c9-b375-63b80a03932c">
      <Url>http://uscportal.ie.corp/customers/_layouts/15/DocIdRedir.aspx?ID=WUTACPQVHE7E-1195615845-9220</Url>
      <Description>WUTACPQVHE7E-1195615845-9220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5771A1-7856-4E84-86A4-9458DECCA0F9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1696683E-2621-4E94-86D4-6826FFAEC3C8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3.xml><?xml version="1.0" encoding="utf-8"?>
<ds:datastoreItem xmlns:ds="http://schemas.openxmlformats.org/officeDocument/2006/customXml" ds:itemID="{158A36A2-4835-415B-8D97-5CEE53FCF9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2FD70F9-735E-4C80-BA50-7BE36C1E0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652</Words>
  <Characters>3719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Tretiyak Konstantin</cp:lastModifiedBy>
  <cp:revision>17</cp:revision>
  <dcterms:created xsi:type="dcterms:W3CDTF">2020-06-15T02:37:00Z</dcterms:created>
  <dcterms:modified xsi:type="dcterms:W3CDTF">2021-10-13T05:34:00Z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90ef0fe3-9509-46a7-9ef1-45d414ff9678</vt:lpwstr>
  </property>
</Properties>
</file>